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spacing w:after="312" w:afterLines="100" w:line="440" w:lineRule="exact"/>
        <w:ind w:firstLine="643" w:firstLineChars="200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展位申请表</w:t>
      </w:r>
    </w:p>
    <w:tbl>
      <w:tblPr>
        <w:tblStyle w:val="2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47"/>
        <w:gridCol w:w="3219"/>
        <w:gridCol w:w="6"/>
        <w:gridCol w:w="1357"/>
        <w:gridCol w:w="220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8" w:type="dxa"/>
          <w:trHeight w:val="900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8" w:type="dxa"/>
          <w:trHeight w:val="900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7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0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55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参与形式</w:t>
            </w:r>
          </w:p>
        </w:tc>
        <w:tc>
          <w:tcPr>
            <w:tcW w:w="6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钻石级赞助（20万元）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铂金级赞助（10万元）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黄金级赞助（5万元）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标展 （1.2万元）  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sz w:val="28"/>
                <w:szCs w:val="24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特展：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平方米（0.12万元/m2）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85" w:hRule="atLeast"/>
          <w:jc w:val="center"/>
        </w:trPr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6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挂绳（5万）          □ 手提袋（5万） </w:t>
            </w: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胸卡（5万）          □ 矿泉水挂牌（5万） </w:t>
            </w: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会议用笔（4万）      □ 志愿者服装（4万） </w:t>
            </w: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招待晚宴（30万）     □ 会刊封二、封三（4万）</w:t>
            </w: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会刊封底（4万）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论文集封二、封三（4万）</w:t>
            </w: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论文集封底（4万）    □ 展会门票（4万）</w:t>
            </w: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纪念品（5万以上）    □ 倒旗（5万/面）</w:t>
            </w:r>
          </w:p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会场大门广告位（5万/侧）</w:t>
            </w:r>
          </w:p>
        </w:tc>
      </w:tr>
    </w:tbl>
    <w:p>
      <w:pPr>
        <w:tabs>
          <w:tab w:val="left" w:pos="8364"/>
        </w:tabs>
        <w:spacing w:line="44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851" w:right="1800" w:bottom="1135" w:left="1800" w:header="709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3B91"/>
    <w:rsid w:val="6A73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2019-06-10T06:14:00Z</dcterms:created>
  <dc:creator>苏宏乐</dc:creator>
  <cp:lastModifiedBy>苏宏乐</cp:lastModifiedBy>
  <dcterms:modified xsi:type="dcterms:W3CDTF">2019-06-10T06:15:02Z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